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84818" w:rsidRDefault="00D84818" w:rsidP="43C59924">
      <w:pPr>
        <w:pStyle w:val="Normal0"/>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bCs/>
          <w:color w:val="000000"/>
          <w:sz w:val="32"/>
          <w:szCs w:val="32"/>
        </w:rPr>
      </w:pPr>
    </w:p>
    <w:p w14:paraId="00000002" w14:textId="77777777" w:rsidR="00D84818" w:rsidRDefault="00205F7C" w:rsidP="43C59924">
      <w:pPr>
        <w:pStyle w:val="Normal0"/>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bCs/>
          <w:color w:val="000000"/>
          <w:sz w:val="32"/>
          <w:szCs w:val="32"/>
        </w:rPr>
      </w:pPr>
      <w:r w:rsidRPr="43C59924">
        <w:rPr>
          <w:rFonts w:ascii="Arial" w:eastAsia="Arial" w:hAnsi="Arial" w:cs="Arial"/>
          <w:b/>
          <w:bCs/>
          <w:color w:val="000000"/>
          <w:sz w:val="32"/>
          <w:szCs w:val="32"/>
        </w:rPr>
        <w:t>Call-Off Schedule 6 (ICT Services)</w:t>
      </w:r>
    </w:p>
    <w:p w14:paraId="00000003" w14:textId="77777777" w:rsidR="00D84818" w:rsidRDefault="00205F7C">
      <w:pPr>
        <w:pStyle w:val="Normal0"/>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00000004" w14:textId="77777777" w:rsidR="00D84818" w:rsidRDefault="00205F7C">
      <w:pPr>
        <w:pStyle w:val="Normal0"/>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D84818" w14:paraId="32F1C1F2" w14:textId="77777777">
        <w:tc>
          <w:tcPr>
            <w:tcW w:w="2741" w:type="dxa"/>
            <w:shd w:val="clear" w:color="auto" w:fill="auto"/>
          </w:tcPr>
          <w:p w14:paraId="00000005"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14:paraId="00000006"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D84818" w14:paraId="68524B7E" w14:textId="77777777">
        <w:tc>
          <w:tcPr>
            <w:tcW w:w="2741" w:type="dxa"/>
            <w:shd w:val="clear" w:color="auto" w:fill="auto"/>
          </w:tcPr>
          <w:p w14:paraId="00000007"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14:paraId="00000008"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any software which is owned by or licensed to the Buyer and </w:t>
            </w:r>
            <w:r>
              <w:rPr>
                <w:rFonts w:ascii="Arial" w:eastAsia="Arial" w:hAnsi="Arial" w:cs="Arial"/>
                <w:color w:val="000000"/>
                <w:sz w:val="24"/>
                <w:szCs w:val="24"/>
              </w:rPr>
              <w:t>which is or will be used by the Supplier for the purposes of providing the Deliverables;</w:t>
            </w:r>
          </w:p>
        </w:tc>
      </w:tr>
      <w:tr w:rsidR="00D84818" w14:paraId="58E0D00A" w14:textId="77777777">
        <w:tc>
          <w:tcPr>
            <w:tcW w:w="2741" w:type="dxa"/>
            <w:shd w:val="clear" w:color="auto" w:fill="auto"/>
          </w:tcPr>
          <w:p w14:paraId="00000009"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14:paraId="0000000A"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D84818" w14:paraId="0676607F" w14:textId="77777777">
        <w:tc>
          <w:tcPr>
            <w:tcW w:w="2741" w:type="dxa"/>
            <w:shd w:val="clear" w:color="auto" w:fill="auto"/>
          </w:tcPr>
          <w:p w14:paraId="0000000B"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“Commercial off the shelf Software” or “COTS Softwa</w:t>
            </w:r>
            <w:r>
              <w:rPr>
                <w:rFonts w:ascii="Arial" w:eastAsia="Arial" w:hAnsi="Arial" w:cs="Arial"/>
                <w:b/>
                <w:color w:val="000000"/>
                <w:sz w:val="24"/>
                <w:szCs w:val="24"/>
              </w:rPr>
              <w:t>re”</w:t>
            </w:r>
          </w:p>
        </w:tc>
        <w:tc>
          <w:tcPr>
            <w:tcW w:w="5460" w:type="dxa"/>
            <w:shd w:val="clear" w:color="auto" w:fill="auto"/>
          </w:tcPr>
          <w:p w14:paraId="0000000C"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D84818" w14:paraId="6662246B" w14:textId="77777777">
        <w:tc>
          <w:tcPr>
            <w:tcW w:w="2741" w:type="dxa"/>
            <w:shd w:val="clear" w:color="auto" w:fill="auto"/>
          </w:tcPr>
          <w:p w14:paraId="0000000D"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14:paraId="0000000E" w14:textId="77777777" w:rsidR="00D84818" w:rsidRDefault="00205F7C">
            <w:pPr>
              <w:pStyle w:val="Normal0"/>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0000000F" w14:textId="77777777" w:rsidR="00D84818" w:rsidRDefault="00205F7C">
            <w:pPr>
              <w:pStyle w:val="Normal0"/>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00000010" w14:textId="77777777" w:rsidR="00D84818" w:rsidRDefault="00205F7C">
            <w:pPr>
              <w:pStyle w:val="Normal0"/>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D84818" w14:paraId="08F1E8ED" w14:textId="77777777">
        <w:tc>
          <w:tcPr>
            <w:tcW w:w="2741" w:type="dxa"/>
            <w:shd w:val="clear" w:color="auto" w:fill="auto"/>
          </w:tcPr>
          <w:p w14:paraId="00000011" w14:textId="77777777" w:rsidR="00D84818" w:rsidRDefault="00D84818">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00000012" w14:textId="77777777" w:rsidR="00D84818" w:rsidRDefault="00205F7C">
            <w:pPr>
              <w:pStyle w:val="Normal0"/>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provide the performance, features and functionality specified in the requirements of the Buyer or the Documentation (including any adverse effect on response times) regardless of whether or not it prevents the relevant Del</w:t>
            </w:r>
            <w:r>
              <w:rPr>
                <w:rFonts w:ascii="Arial" w:eastAsia="Arial" w:hAnsi="Arial" w:cs="Arial"/>
                <w:color w:val="000000"/>
                <w:sz w:val="24"/>
                <w:szCs w:val="24"/>
              </w:rPr>
              <w:t>iverable from passing any Test required under this Call Off Contract; or</w:t>
            </w:r>
          </w:p>
          <w:p w14:paraId="00000013" w14:textId="77777777" w:rsidR="00D84818" w:rsidRDefault="00205F7C">
            <w:pPr>
              <w:pStyle w:val="Normal0"/>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operate in conjunction with or interface with any other Deliverable in order to provide the performance, features and functionality specified in the </w:t>
            </w:r>
            <w:r>
              <w:rPr>
                <w:rFonts w:ascii="Arial" w:eastAsia="Arial" w:hAnsi="Arial" w:cs="Arial"/>
                <w:color w:val="000000"/>
                <w:sz w:val="24"/>
                <w:szCs w:val="24"/>
              </w:rPr>
              <w:t>requirements of the Buyer or the Documentation (including any adverse effect on response times) regardless of whether or not it prevents the relevant Deliverable from passing any Test required under this Contract;</w:t>
            </w:r>
          </w:p>
        </w:tc>
      </w:tr>
      <w:tr w:rsidR="00D84818" w14:paraId="30024749" w14:textId="77777777">
        <w:tc>
          <w:tcPr>
            <w:tcW w:w="2741" w:type="dxa"/>
            <w:shd w:val="clear" w:color="auto" w:fill="auto"/>
          </w:tcPr>
          <w:p w14:paraId="00000014"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"Emergency Maintenance"</w:t>
            </w:r>
          </w:p>
        </w:tc>
        <w:tc>
          <w:tcPr>
            <w:tcW w:w="5460" w:type="dxa"/>
            <w:shd w:val="clear" w:color="auto" w:fill="auto"/>
          </w:tcPr>
          <w:p w14:paraId="00000015"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w:t>
            </w:r>
            <w:r>
              <w:rPr>
                <w:rFonts w:ascii="Arial" w:eastAsia="Arial" w:hAnsi="Arial" w:cs="Arial"/>
                <w:color w:val="000000"/>
                <w:sz w:val="24"/>
                <w:szCs w:val="24"/>
              </w:rPr>
              <w:t>ned maintenance provided by the Supplier where either Party reasonably suspects that the ICT Environment or the Services, or any part of the ICT Environment or the Services, has or may have developed a fault;</w:t>
            </w:r>
          </w:p>
        </w:tc>
      </w:tr>
      <w:tr w:rsidR="00D84818" w14:paraId="5B208477" w14:textId="77777777">
        <w:tc>
          <w:tcPr>
            <w:tcW w:w="2741" w:type="dxa"/>
            <w:shd w:val="clear" w:color="auto" w:fill="auto"/>
          </w:tcPr>
          <w:p w14:paraId="00000016"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14:paraId="00000017"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D84818" w14:paraId="28BD6BFC" w14:textId="77777777">
        <w:tc>
          <w:tcPr>
            <w:tcW w:w="2741" w:type="dxa"/>
            <w:shd w:val="clear" w:color="auto" w:fill="auto"/>
          </w:tcPr>
          <w:p w14:paraId="00000018"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00000019"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w:t>
            </w:r>
            <w:r>
              <w:rPr>
                <w:rFonts w:ascii="Arial" w:eastAsia="Arial" w:hAnsi="Arial" w:cs="Arial"/>
                <w:color w:val="000000"/>
                <w:sz w:val="24"/>
                <w:szCs w:val="24"/>
              </w:rPr>
              <w:t>are;</w:t>
            </w:r>
          </w:p>
        </w:tc>
      </w:tr>
      <w:tr w:rsidR="00D84818" w14:paraId="6DB6A71C" w14:textId="77777777">
        <w:tc>
          <w:tcPr>
            <w:tcW w:w="2741" w:type="dxa"/>
            <w:shd w:val="clear" w:color="auto" w:fill="auto"/>
          </w:tcPr>
          <w:p w14:paraId="0000001A"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14:paraId="0000001B"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D84818" w14:paraId="02AF42AB" w14:textId="77777777">
        <w:tc>
          <w:tcPr>
            <w:tcW w:w="2741" w:type="dxa"/>
            <w:shd w:val="clear" w:color="auto" w:fill="auto"/>
          </w:tcPr>
          <w:p w14:paraId="0000001C"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14:paraId="0000001D"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w:t>
            </w:r>
            <w:r>
              <w:rPr>
                <w:rFonts w:ascii="Arial" w:eastAsia="Arial" w:hAnsi="Arial" w:cs="Arial"/>
                <w:color w:val="000000"/>
                <w:sz w:val="24"/>
                <w:szCs w:val="24"/>
              </w:rPr>
              <w:t>ther the malicious software is introduced wilfully, negligently or without knowledge of its existence;</w:t>
            </w:r>
          </w:p>
        </w:tc>
      </w:tr>
      <w:tr w:rsidR="00D84818" w14:paraId="0B2AEAD8" w14:textId="77777777">
        <w:tc>
          <w:tcPr>
            <w:tcW w:w="2741" w:type="dxa"/>
            <w:shd w:val="clear" w:color="auto" w:fill="auto"/>
          </w:tcPr>
          <w:p w14:paraId="0000001E"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0000001F"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w:t>
            </w:r>
            <w:r>
              <w:rPr>
                <w:rFonts w:ascii="Arial" w:eastAsia="Arial" w:hAnsi="Arial" w:cs="Arial"/>
                <w:color w:val="000000"/>
                <w:sz w:val="24"/>
                <w:szCs w:val="24"/>
              </w:rPr>
              <w:t>mance enhancement (whether or not defects in the Software and/or Deliverable are also corrected) while still retaining the original designated purpose of that item;</w:t>
            </w:r>
          </w:p>
        </w:tc>
      </w:tr>
      <w:tr w:rsidR="00D84818" w14:paraId="26775FF8" w14:textId="77777777">
        <w:tc>
          <w:tcPr>
            <w:tcW w:w="2741" w:type="dxa"/>
            <w:shd w:val="clear" w:color="auto" w:fill="auto"/>
          </w:tcPr>
          <w:p w14:paraId="00000020"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14:paraId="00000021"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w:t>
            </w:r>
            <w:r>
              <w:rPr>
                <w:rFonts w:ascii="Arial" w:eastAsia="Arial" w:hAnsi="Arial" w:cs="Arial"/>
                <w:color w:val="000000"/>
                <w:sz w:val="24"/>
                <w:szCs w:val="24"/>
              </w:rPr>
              <w:t>nd for any and all purposes free of charge;</w:t>
            </w:r>
          </w:p>
        </w:tc>
      </w:tr>
      <w:tr w:rsidR="00D84818" w14:paraId="33233986" w14:textId="77777777">
        <w:tc>
          <w:tcPr>
            <w:tcW w:w="2741" w:type="dxa"/>
            <w:shd w:val="clear" w:color="auto" w:fill="auto"/>
          </w:tcPr>
          <w:p w14:paraId="00000022"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"Operating Environment"</w:t>
            </w:r>
          </w:p>
        </w:tc>
        <w:tc>
          <w:tcPr>
            <w:tcW w:w="5460" w:type="dxa"/>
            <w:shd w:val="clear" w:color="auto" w:fill="auto"/>
          </w:tcPr>
          <w:p w14:paraId="00000023"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14:paraId="00000024" w14:textId="77777777" w:rsidR="00D84818" w:rsidRDefault="00205F7C">
            <w:pPr>
              <w:pStyle w:val="Normal0"/>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Deliverables are (or are to be) provided;</w:t>
            </w:r>
            <w:r>
              <w:rPr>
                <w:rFonts w:ascii="Arial" w:eastAsia="Arial" w:hAnsi="Arial" w:cs="Arial"/>
                <w:color w:val="000000"/>
                <w:sz w:val="24"/>
                <w:szCs w:val="24"/>
              </w:rPr>
              <w:t xml:space="preserve"> or </w:t>
            </w:r>
          </w:p>
          <w:p w14:paraId="00000025" w14:textId="77777777" w:rsidR="00D84818" w:rsidRDefault="00205F7C">
            <w:pPr>
              <w:pStyle w:val="Normal0"/>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00000026" w14:textId="77777777" w:rsidR="00D84818" w:rsidRDefault="00205F7C">
            <w:pPr>
              <w:pStyle w:val="Normal0"/>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D84818" w14:paraId="3A349EF9" w14:textId="77777777">
        <w:tc>
          <w:tcPr>
            <w:tcW w:w="2741" w:type="dxa"/>
            <w:shd w:val="clear" w:color="auto" w:fill="auto"/>
          </w:tcPr>
          <w:p w14:paraId="00000027"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00000028"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D84818" w14:paraId="5A0E8B60" w14:textId="77777777">
        <w:tc>
          <w:tcPr>
            <w:tcW w:w="2741" w:type="dxa"/>
            <w:shd w:val="clear" w:color="auto" w:fill="auto"/>
          </w:tcPr>
          <w:p w14:paraId="00000029"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14:paraId="0000002A"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D84818" w14:paraId="632D78DA" w14:textId="77777777">
        <w:tc>
          <w:tcPr>
            <w:tcW w:w="2741" w:type="dxa"/>
            <w:shd w:val="clear" w:color="auto" w:fill="auto"/>
          </w:tcPr>
          <w:p w14:paraId="0000002B"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14:paraId="0000002C"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w:t>
            </w:r>
            <w:r>
              <w:rPr>
                <w:rFonts w:ascii="Arial" w:eastAsia="Arial" w:hAnsi="Arial" w:cs="Arial"/>
                <w:color w:val="000000"/>
                <w:sz w:val="24"/>
                <w:szCs w:val="24"/>
              </w:rPr>
              <w:t>dule shall also include any premises from, to or at which physical interface with the Buyer System takes place;</w:t>
            </w:r>
          </w:p>
        </w:tc>
      </w:tr>
      <w:tr w:rsidR="00D84818" w14:paraId="4DC151C9" w14:textId="77777777">
        <w:tc>
          <w:tcPr>
            <w:tcW w:w="2741" w:type="dxa"/>
            <w:shd w:val="clear" w:color="auto" w:fill="auto"/>
          </w:tcPr>
          <w:p w14:paraId="0000002D"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14:paraId="0000002E"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D84818" w14:paraId="2833A8CE" w14:textId="77777777">
        <w:tc>
          <w:tcPr>
            <w:tcW w:w="2741" w:type="dxa"/>
            <w:shd w:val="clear" w:color="auto" w:fill="auto"/>
          </w:tcPr>
          <w:p w14:paraId="0000002F"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14:paraId="00000030"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w:t>
            </w:r>
            <w:r>
              <w:rPr>
                <w:rFonts w:ascii="Arial" w:eastAsia="Arial" w:hAnsi="Arial" w:cs="Arial"/>
                <w:color w:val="000000"/>
                <w:sz w:val="24"/>
                <w:szCs w:val="24"/>
              </w:rPr>
              <w:t>aning given to it in paragraph 9.1 of this Schedule;</w:t>
            </w:r>
          </w:p>
        </w:tc>
      </w:tr>
      <w:tr w:rsidR="00D84818" w14:paraId="51B03868" w14:textId="77777777">
        <w:tc>
          <w:tcPr>
            <w:tcW w:w="2741" w:type="dxa"/>
            <w:shd w:val="clear" w:color="auto" w:fill="auto"/>
          </w:tcPr>
          <w:p w14:paraId="00000031"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14:paraId="00000032"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color w:val="000000"/>
                <w:sz w:val="24"/>
                <w:szCs w:val="24"/>
              </w:rPr>
              <w:t>production, maintenance, modification and enhancement of such software;</w:t>
            </w:r>
          </w:p>
        </w:tc>
      </w:tr>
      <w:tr w:rsidR="00D84818" w14:paraId="1484194B" w14:textId="77777777">
        <w:tc>
          <w:tcPr>
            <w:tcW w:w="2741" w:type="dxa"/>
            <w:shd w:val="clear" w:color="auto" w:fill="auto"/>
          </w:tcPr>
          <w:p w14:paraId="00000033"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14:paraId="00000034"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w:t>
            </w:r>
            <w:r>
              <w:rPr>
                <w:rFonts w:ascii="Arial" w:eastAsia="Arial" w:hAnsi="Arial" w:cs="Arial"/>
                <w:color w:val="000000"/>
                <w:sz w:val="24"/>
                <w:szCs w:val="24"/>
              </w:rPr>
              <w:t>this Contract, including any modifications or enhancements to COTS Software. For the avoidance of doubt Specially Written Software does not constitute New IPR;</w:t>
            </w:r>
          </w:p>
        </w:tc>
      </w:tr>
      <w:tr w:rsidR="00D84818" w14:paraId="672A6659" w14:textId="77777777">
        <w:tc>
          <w:tcPr>
            <w:tcW w:w="2741" w:type="dxa"/>
            <w:shd w:val="clear" w:color="auto" w:fill="auto"/>
          </w:tcPr>
          <w:p w14:paraId="00000035" w14:textId="77777777" w:rsidR="00D84818" w:rsidRDefault="00D84818">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00000036" w14:textId="77777777" w:rsidR="00D84818" w:rsidRDefault="00D84818">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D84818" w14:paraId="0673E95E" w14:textId="77777777">
        <w:tc>
          <w:tcPr>
            <w:tcW w:w="2741" w:type="dxa"/>
            <w:shd w:val="clear" w:color="auto" w:fill="auto"/>
          </w:tcPr>
          <w:p w14:paraId="00000037"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14:paraId="00000038" w14:textId="77777777" w:rsidR="00D84818" w:rsidRDefault="00205F7C">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information and communications technology system used by the Supplier </w:t>
            </w:r>
            <w:r>
              <w:rPr>
                <w:rFonts w:ascii="Arial" w:eastAsia="Arial" w:hAnsi="Arial" w:cs="Arial"/>
                <w:color w:val="000000"/>
                <w:sz w:val="24"/>
                <w:szCs w:val="24"/>
              </w:rPr>
              <w:t>in supplying the Deliverables, including the COTS Software, the Supplier Equipment, configuration and management utilities, calibration and testing tools and related cabling (but excluding the Buyer System);</w:t>
            </w:r>
          </w:p>
        </w:tc>
      </w:tr>
      <w:tr w:rsidR="00D84818" w14:paraId="0A37501D" w14:textId="77777777">
        <w:tc>
          <w:tcPr>
            <w:tcW w:w="2741" w:type="dxa"/>
            <w:shd w:val="clear" w:color="auto" w:fill="auto"/>
          </w:tcPr>
          <w:p w14:paraId="00000039" w14:textId="77777777" w:rsidR="00D84818" w:rsidRDefault="00D84818">
            <w:pPr>
              <w:pStyle w:val="Normal0"/>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0000003A" w14:textId="77777777" w:rsidR="00D84818" w:rsidRDefault="00D84818">
            <w:pPr>
              <w:pStyle w:val="Normal0"/>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14:paraId="0000003B" w14:textId="77777777" w:rsidR="00D84818" w:rsidRDefault="00205F7C">
      <w:pPr>
        <w:pStyle w:val="Normal0"/>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0000003C" w14:textId="77777777" w:rsidR="00D84818" w:rsidRDefault="00205F7C">
      <w:pPr>
        <w:pStyle w:val="Normal0"/>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0000003D" w14:textId="77777777" w:rsidR="00D84818" w:rsidRDefault="00205F7C">
      <w:pPr>
        <w:pStyle w:val="Normal0"/>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0000003E" w14:textId="77777777" w:rsidR="00D84818" w:rsidRDefault="00205F7C">
      <w:pPr>
        <w:pStyle w:val="Normal0"/>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0000003F"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14:paraId="00000040"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00000041"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00000042"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14:paraId="00000043" w14:textId="77777777" w:rsidR="00D84818" w:rsidRDefault="00205F7C">
      <w:pPr>
        <w:pStyle w:val="Normal0"/>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00000044"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00000045"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actions needed to remedy </w:t>
      </w:r>
      <w:r>
        <w:rPr>
          <w:rFonts w:ascii="Arial" w:eastAsia="Arial" w:hAnsi="Arial" w:cs="Arial"/>
          <w:color w:val="000000"/>
          <w:sz w:val="24"/>
          <w:szCs w:val="24"/>
        </w:rPr>
        <w:t>each such unsuitable aspect; and</w:t>
      </w:r>
    </w:p>
    <w:p w14:paraId="00000046"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00000047" w14:textId="77777777" w:rsidR="00D84818" w:rsidRDefault="00205F7C">
      <w:pPr>
        <w:pStyle w:val="Normal0"/>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00000048" w14:textId="77777777" w:rsidR="00D84818" w:rsidRDefault="00205F7C">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The Supplier represents and warrants that:</w:t>
      </w:r>
    </w:p>
    <w:p w14:paraId="00000049" w14:textId="77777777" w:rsidR="00D84818" w:rsidRDefault="00205F7C">
      <w:pPr>
        <w:pStyle w:val="Normal0"/>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14:paraId="0000004A"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0000004B"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0000004C"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perform in all material respects in accordance with the relevant specifications contained in Call </w:t>
      </w:r>
      <w:r>
        <w:rPr>
          <w:rFonts w:ascii="Arial" w:eastAsia="Arial" w:hAnsi="Arial" w:cs="Arial"/>
          <w:color w:val="000000"/>
          <w:sz w:val="24"/>
          <w:szCs w:val="24"/>
        </w:rPr>
        <w:t>Off Schedule 14 (Service Levels) and Documentation; and</w:t>
      </w:r>
    </w:p>
    <w:p w14:paraId="0000004D" w14:textId="77777777" w:rsidR="00D84818" w:rsidRDefault="00205F7C">
      <w:pPr>
        <w:pStyle w:val="Normal0"/>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0000004E" w14:textId="77777777" w:rsidR="00D84818" w:rsidRDefault="00205F7C">
      <w:pPr>
        <w:pStyle w:val="Normal0"/>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0000004F" w14:textId="77777777" w:rsidR="00D84818" w:rsidRDefault="00205F7C">
      <w:pPr>
        <w:pStyle w:val="Normal0"/>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0000050" w14:textId="77777777" w:rsidR="00D84818" w:rsidRDefault="00205F7C">
      <w:pPr>
        <w:pStyle w:val="Normal0"/>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14:paraId="00000051" w14:textId="77777777" w:rsidR="00D84818" w:rsidRDefault="00205F7C">
      <w:pPr>
        <w:pStyle w:val="Normal0"/>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14:paraId="00000052" w14:textId="77777777" w:rsidR="00D84818" w:rsidRDefault="00205F7C">
      <w:pPr>
        <w:pStyle w:val="Normal0"/>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00000053" w14:textId="77777777" w:rsidR="00D84818" w:rsidRDefault="00205F7C">
      <w:pPr>
        <w:pStyle w:val="Normal0"/>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14:paraId="00000054" w14:textId="77777777" w:rsidR="00D84818" w:rsidRDefault="00205F7C">
      <w:pPr>
        <w:pStyle w:val="Normal0"/>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14:paraId="00000055" w14:textId="77777777" w:rsidR="00D84818" w:rsidRDefault="00205F7C">
      <w:pPr>
        <w:pStyle w:val="Normal0"/>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14:paraId="00000056" w14:textId="77777777" w:rsidR="00D84818" w:rsidRDefault="00205F7C">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w:t>
      </w:r>
      <w:r>
        <w:rPr>
          <w:rFonts w:ascii="Arial" w:eastAsia="Arial" w:hAnsi="Arial" w:cs="Arial"/>
          <w:color w:val="000000"/>
          <w:sz w:val="24"/>
          <w:szCs w:val="24"/>
        </w:rPr>
        <w:t>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00000057" w14:textId="77777777" w:rsidR="00D84818" w:rsidRDefault="00205F7C">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Approval shall not act as an endorsement of the Quality Plans and shall not relieve the Supplier of its responsibility </w:t>
      </w:r>
      <w:r>
        <w:rPr>
          <w:rFonts w:ascii="Arial" w:eastAsia="Arial" w:hAnsi="Arial" w:cs="Arial"/>
          <w:color w:val="000000"/>
          <w:sz w:val="24"/>
          <w:szCs w:val="24"/>
        </w:rPr>
        <w:t>for ensuring that the Deliverables are provided to the standard required by this Contract.</w:t>
      </w:r>
    </w:p>
    <w:p w14:paraId="00000058" w14:textId="77777777" w:rsidR="00D84818" w:rsidRDefault="00205F7C">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00000059" w14:textId="77777777" w:rsidR="00D84818" w:rsidRDefault="00205F7C">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0000005A" w14:textId="77777777" w:rsidR="00D84818" w:rsidRDefault="00205F7C">
      <w:pPr>
        <w:pStyle w:val="Normal0"/>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0000005B" w14:textId="77777777" w:rsidR="00D84818" w:rsidRDefault="00205F7C">
      <w:pPr>
        <w:pStyle w:val="Normal0"/>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w:t>
      </w:r>
      <w:r>
        <w:rPr>
          <w:rFonts w:ascii="Arial" w:eastAsia="Arial" w:hAnsi="Arial" w:cs="Arial"/>
          <w:color w:val="000000"/>
          <w:sz w:val="24"/>
          <w:szCs w:val="24"/>
        </w:rPr>
        <w:t>nce in faithfully performing those duties and exercising such powers as necessary in connection with the provision of the Deliverables; and</w:t>
      </w:r>
    </w:p>
    <w:p w14:paraId="0000005C" w14:textId="77777777" w:rsidR="00D84818" w:rsidRDefault="00205F7C">
      <w:pPr>
        <w:pStyle w:val="Normal0"/>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w:t>
      </w:r>
      <w:r>
        <w:rPr>
          <w:rFonts w:ascii="Arial" w:eastAsia="Arial" w:hAnsi="Arial" w:cs="Arial"/>
          <w:color w:val="000000"/>
          <w:sz w:val="24"/>
          <w:szCs w:val="24"/>
        </w:rPr>
        <w:t xml:space="preserve"> Policy) and provide the Deliverables to the reasonable satisfaction of the Buyer.</w:t>
      </w:r>
    </w:p>
    <w:p w14:paraId="0000005D" w14:textId="77777777" w:rsidR="00D84818" w:rsidRDefault="00205F7C">
      <w:pPr>
        <w:pStyle w:val="Normal0"/>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0000005E" w14:textId="77777777" w:rsidR="00D84818" w:rsidRDefault="00205F7C">
      <w:pPr>
        <w:pStyle w:val="Normal0"/>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0000005F"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00000060"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00000061" w14:textId="77777777" w:rsidR="00D84818" w:rsidRDefault="00205F7C">
      <w:pPr>
        <w:pStyle w:val="Normal0"/>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00000062" w14:textId="77777777" w:rsidR="00D84818" w:rsidRDefault="00205F7C">
      <w:pPr>
        <w:pStyle w:val="Normal0"/>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00000063" w14:textId="77777777" w:rsidR="00D84818" w:rsidRDefault="00205F7C">
      <w:pPr>
        <w:pStyle w:val="Normal0"/>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w:t>
      </w:r>
      <w:r>
        <w:rPr>
          <w:rFonts w:ascii="Arial" w:eastAsia="Arial" w:hAnsi="Arial" w:cs="Arial"/>
          <w:color w:val="000000"/>
          <w:sz w:val="24"/>
          <w:szCs w:val="24"/>
        </w:rPr>
        <w:t>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00000064" w14:textId="77777777" w:rsidR="00D84818" w:rsidRDefault="00205F7C">
      <w:pPr>
        <w:pStyle w:val="Normal0"/>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Once the Maintenance Schedule has been Approved, the Supplier shall only undertake such planne</w:t>
      </w:r>
      <w:r>
        <w:rPr>
          <w:rFonts w:ascii="Arial" w:eastAsia="Arial" w:hAnsi="Arial" w:cs="Arial"/>
          <w:color w:val="000000"/>
          <w:sz w:val="24"/>
          <w:szCs w:val="24"/>
        </w:rPr>
        <w:t>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00000065" w14:textId="77777777" w:rsidR="00D84818" w:rsidRDefault="00205F7C">
      <w:pPr>
        <w:pStyle w:val="Normal0"/>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00000066" w14:textId="77777777" w:rsidR="00D84818" w:rsidRDefault="00205F7C">
      <w:pPr>
        <w:pStyle w:val="Normal0"/>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14:paraId="00000067" w14:textId="77777777" w:rsidR="00D84818" w:rsidRDefault="00205F7C">
      <w:pPr>
        <w:pStyle w:val="Normal0"/>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14:paraId="00000068" w14:textId="77777777" w:rsidR="00D84818" w:rsidRDefault="00205F7C">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5" w:name="_heading=h.tyjcwt" w:colFirst="0" w:colLast="0"/>
      <w:bookmarkEnd w:id="5"/>
      <w:r>
        <w:rPr>
          <w:rFonts w:ascii="Arial" w:eastAsia="Arial" w:hAnsi="Arial" w:cs="Arial"/>
          <w:b/>
          <w:color w:val="000000"/>
          <w:sz w:val="24"/>
          <w:szCs w:val="24"/>
        </w:rPr>
        <w:t xml:space="preserve">Assignments granted by the Supplier: Specially Written Software </w:t>
      </w:r>
    </w:p>
    <w:p w14:paraId="00000069"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14:paraId="0000006A"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Documentation, Source Code and the Object Code of the Specially Written Software; and</w:t>
      </w:r>
    </w:p>
    <w:p w14:paraId="0000006B"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0000006C"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000006D"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14:paraId="0000006E"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14:paraId="0000006F"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14:paraId="00000070"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00000071" w14:textId="77777777" w:rsidR="00D84818" w:rsidRDefault="00205F7C">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0" w:name="_heading=h.17dp8vu" w:colFirst="0" w:colLast="0"/>
      <w:bookmarkEnd w:id="10"/>
      <w:r>
        <w:rPr>
          <w:rFonts w:ascii="Arial" w:eastAsia="Arial" w:hAnsi="Arial" w:cs="Arial"/>
          <w:b/>
          <w:color w:val="000000"/>
          <w:sz w:val="24"/>
          <w:szCs w:val="24"/>
        </w:rPr>
        <w:t>Licences for non-COTS IPR from the Supplier and third parties to the Buyer</w:t>
      </w:r>
    </w:p>
    <w:p w14:paraId="00000072"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Unless the Buyer gives its Approval the Supplier must not use any:</w:t>
      </w:r>
    </w:p>
    <w:p w14:paraId="00000073" w14:textId="77777777" w:rsidR="00D84818" w:rsidRDefault="00205F7C">
      <w:pPr>
        <w:pStyle w:val="Normal0"/>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00000074" w14:textId="77777777" w:rsidR="00D84818" w:rsidRDefault="00205F7C">
      <w:pPr>
        <w:pStyle w:val="Normal0"/>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00000075"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Where the Buyer </w:t>
      </w:r>
      <w:r>
        <w:rPr>
          <w:rFonts w:ascii="Arial" w:eastAsia="Arial" w:hAnsi="Arial" w:cs="Arial"/>
          <w:color w:val="000000"/>
          <w:sz w:val="24"/>
          <w:szCs w:val="24"/>
        </w:rPr>
        <w:t>Approves the use of the Supplier’s Existing IPR that is not COTS Software the Supplier shall grants to the Buyer a perpetual, royalty-free and non-exclusive licence to use adapt, and sub-license the same for any purpose relating to the Deliverables (or sub</w:t>
      </w:r>
      <w:r>
        <w:rPr>
          <w:rFonts w:ascii="Arial" w:eastAsia="Arial" w:hAnsi="Arial" w:cs="Arial"/>
          <w:color w:val="000000"/>
          <w:sz w:val="24"/>
          <w:szCs w:val="24"/>
        </w:rPr>
        <w:t>stantially equivalent deliverables) or for any purpose relating to the exercise of the Buyer’s (or, if the Buyer is a Central Government Body, any other Central Government Body’s) business or function including  the right to load, execute, store, transmit,</w:t>
      </w:r>
      <w:r>
        <w:rPr>
          <w:rFonts w:ascii="Arial" w:eastAsia="Arial" w:hAnsi="Arial" w:cs="Arial"/>
          <w:color w:val="000000"/>
          <w:sz w:val="24"/>
          <w:szCs w:val="24"/>
        </w:rPr>
        <w:t xml:space="preserve">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00000076"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14:paraId="00000077"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14:paraId="00000078"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14:paraId="00000079"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14:paraId="0000007A"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14:paraId="0000007B" w14:textId="77777777" w:rsidR="00D84818" w:rsidRDefault="00205F7C">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4" w:name="_heading=h.35nkun2" w:colFirst="0" w:colLast="0"/>
      <w:bookmarkEnd w:id="14"/>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14:paraId="0000007C"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14:paraId="0000007D"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0000007E"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 xml:space="preserve">re a third party is the owner of COTS Software licensed in accordance with this Paragraph 9.3 the Supplier shall support the Replacement Supplier to make arrangements with the owner or authorised </w:t>
      </w:r>
      <w:r>
        <w:rPr>
          <w:rFonts w:ascii="Arial" w:eastAsia="Arial" w:hAnsi="Arial" w:cs="Arial"/>
          <w:sz w:val="24"/>
          <w:szCs w:val="24"/>
        </w:rPr>
        <w:t>licensee</w:t>
      </w:r>
      <w:r>
        <w:rPr>
          <w:rFonts w:ascii="Arial" w:eastAsia="Arial" w:hAnsi="Arial" w:cs="Arial"/>
          <w:color w:val="000000"/>
          <w:sz w:val="24"/>
          <w:szCs w:val="24"/>
        </w:rPr>
        <w:t xml:space="preserv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14:paraId="0000007F" w14:textId="77777777" w:rsidR="00D84818" w:rsidRDefault="00205F7C">
      <w:pPr>
        <w:pStyle w:val="Normal0"/>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00000080"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14:paraId="00000081"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00000082" w14:textId="77777777" w:rsidR="00D84818" w:rsidRDefault="00205F7C">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00000083"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The Buyer may assign, novate or otherwise transfer its rights and obligations under the licences granted pursuant to paragraph 9.2 (to:</w:t>
      </w:r>
    </w:p>
    <w:p w14:paraId="00000084"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00000085"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14:paraId="00000086"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14:paraId="00000087" w14:textId="77777777" w:rsidR="00D84818" w:rsidRDefault="00205F7C">
      <w:pPr>
        <w:pStyle w:val="Normal0"/>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7" w:name="_heading=h.2jxsxqh" w:colFirst="0" w:colLast="0"/>
      <w:bookmarkEnd w:id="17"/>
      <w:r>
        <w:rPr>
          <w:rFonts w:ascii="Arial" w:eastAsia="Arial" w:hAnsi="Arial" w:cs="Arial"/>
          <w:b/>
          <w:color w:val="000000"/>
          <w:sz w:val="24"/>
          <w:szCs w:val="24"/>
        </w:rPr>
        <w:t>Licence granted by the Buyer</w:t>
      </w:r>
    </w:p>
    <w:p w14:paraId="00000088"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w:t>
      </w:r>
      <w:r>
        <w:rPr>
          <w:rFonts w:ascii="Arial" w:eastAsia="Arial" w:hAnsi="Arial" w:cs="Arial"/>
          <w:color w:val="000000"/>
          <w:sz w:val="24"/>
          <w:szCs w:val="24"/>
        </w:rPr>
        <w:t>h this Contract, including the right to grant sub-licences to Sub-Contractors provided that any relevant Sub-Contractor has entered into a confidentiality undertaking with the Supplier on the same terms as set out in Clause 16 (What you must keep confident</w:t>
      </w:r>
      <w:r>
        <w:rPr>
          <w:rFonts w:ascii="Arial" w:eastAsia="Arial" w:hAnsi="Arial" w:cs="Arial"/>
          <w:color w:val="000000"/>
          <w:sz w:val="24"/>
          <w:szCs w:val="24"/>
        </w:rPr>
        <w:t>ial).</w:t>
      </w:r>
    </w:p>
    <w:p w14:paraId="00000089" w14:textId="77777777" w:rsidR="00D84818" w:rsidRDefault="00205F7C">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9" w:name="_heading=h.3j2qqm3" w:colFirst="0" w:colLast="0"/>
      <w:bookmarkEnd w:id="19"/>
      <w:r>
        <w:rPr>
          <w:rFonts w:ascii="Arial" w:eastAsia="Arial" w:hAnsi="Arial" w:cs="Arial"/>
          <w:b/>
          <w:color w:val="000000"/>
          <w:sz w:val="24"/>
          <w:szCs w:val="24"/>
        </w:rPr>
        <w:t>Open Source Publication</w:t>
      </w:r>
    </w:p>
    <w:p w14:paraId="0000008A"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14:paraId="0000008B"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0000008C"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0000008D" w14:textId="77777777" w:rsidR="00D84818" w:rsidRDefault="00205F7C">
      <w:pPr>
        <w:pStyle w:val="Normal0"/>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and the Buyer may, at its sole discretion, publish the same as Open Source.</w:t>
      </w:r>
    </w:p>
    <w:p w14:paraId="0000008E" w14:textId="77777777" w:rsidR="00D84818" w:rsidRDefault="00205F7C">
      <w:pPr>
        <w:pStyle w:val="Normal0"/>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The Supplier hereby warrants that the Specially Written Software and the New IPR:</w:t>
      </w:r>
    </w:p>
    <w:p w14:paraId="0000008F" w14:textId="77777777" w:rsidR="00D84818" w:rsidRDefault="00205F7C">
      <w:pPr>
        <w:pStyle w:val="Normal0"/>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14:paraId="00000090" w14:textId="77777777" w:rsidR="00D84818" w:rsidRDefault="00205F7C">
      <w:pPr>
        <w:pStyle w:val="Normal0"/>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00000091" w14:textId="77777777" w:rsidR="00D84818" w:rsidRDefault="00205F7C">
      <w:pPr>
        <w:pStyle w:val="Normal0"/>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00000092" w14:textId="77777777" w:rsidR="00D84818" w:rsidRDefault="00205F7C">
      <w:pPr>
        <w:pStyle w:val="Normal0"/>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14:paraId="00000093" w14:textId="77777777" w:rsidR="00D84818" w:rsidRDefault="00205F7C">
      <w:pPr>
        <w:pStyle w:val="Normal0"/>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00000094" w14:textId="77777777" w:rsidR="00D84818" w:rsidRDefault="00205F7C">
      <w:pPr>
        <w:pStyle w:val="Normal0"/>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w:t>
      </w:r>
      <w:r>
        <w:rPr>
          <w:rFonts w:ascii="Arial" w:eastAsia="Arial" w:hAnsi="Arial" w:cs="Arial"/>
          <w:color w:val="000000"/>
          <w:sz w:val="24"/>
          <w:szCs w:val="24"/>
        </w:rPr>
        <w:t>icious Software.</w:t>
      </w:r>
    </w:p>
    <w:p w14:paraId="00000095"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14:paraId="00000096"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14:paraId="00000097" w14:textId="77777777" w:rsidR="00D84818" w:rsidRDefault="00205F7C">
      <w:pPr>
        <w:pStyle w:val="Normal0"/>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14:paraId="00000098" w14:textId="77777777" w:rsidR="00D84818" w:rsidRDefault="00205F7C">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00000099"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 xml:space="preserve">The Supplier shall, throughout the Contract Period, use the latest versions of </w:t>
      </w:r>
      <w:r>
        <w:rPr>
          <w:rFonts w:ascii="Arial" w:eastAsia="Arial" w:hAnsi="Arial" w:cs="Arial"/>
          <w:sz w:val="24"/>
          <w:szCs w:val="24"/>
        </w:rPr>
        <w:t>antivirus</w:t>
      </w:r>
      <w:r>
        <w:rPr>
          <w:rFonts w:ascii="Arial" w:eastAsia="Arial" w:hAnsi="Arial" w:cs="Arial"/>
          <w:color w:val="000000"/>
          <w:sz w:val="24"/>
          <w:szCs w:val="24"/>
        </w:rPr>
        <w:t xml:space="preserve"> definitions and software available from an industry accepted anti-virus software vendor to check for, contain the spread of, and minimise the impact of Malicious Softw</w:t>
      </w:r>
      <w:r>
        <w:rPr>
          <w:rFonts w:ascii="Arial" w:eastAsia="Arial" w:hAnsi="Arial" w:cs="Arial"/>
          <w:color w:val="000000"/>
          <w:sz w:val="24"/>
          <w:szCs w:val="24"/>
        </w:rPr>
        <w:t>are.</w:t>
      </w:r>
    </w:p>
    <w:p w14:paraId="0000009A"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w:t>
      </w:r>
      <w:r>
        <w:rPr>
          <w:rFonts w:ascii="Arial" w:eastAsia="Arial" w:hAnsi="Arial" w:cs="Arial"/>
          <w:color w:val="000000"/>
          <w:sz w:val="24"/>
          <w:szCs w:val="24"/>
        </w:rPr>
        <w:t>tigate any losses and to restore the provision of the Deliverables to its desired operating efficiency.</w:t>
      </w:r>
    </w:p>
    <w:p w14:paraId="0000009B" w14:textId="77777777" w:rsidR="00D84818" w:rsidRDefault="00205F7C">
      <w:pPr>
        <w:pStyle w:val="Normal0"/>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0000009C"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w:t>
      </w:r>
      <w:r>
        <w:rPr>
          <w:rFonts w:ascii="Arial" w:eastAsia="Arial" w:hAnsi="Arial" w:cs="Arial"/>
          <w:color w:val="000000"/>
          <w:sz w:val="24"/>
          <w:szCs w:val="24"/>
        </w:rPr>
        <w:t>rate that such Malicious Software was present and not quarantined or otherwise identified by the Buyer when provided to the Supplier; and</w:t>
      </w:r>
    </w:p>
    <w:p w14:paraId="0000009D" w14:textId="77777777" w:rsidR="00D84818" w:rsidRDefault="00205F7C">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w:t>
      </w:r>
      <w:r>
        <w:rPr>
          <w:rFonts w:ascii="Arial" w:eastAsia="Arial" w:hAnsi="Arial" w:cs="Arial"/>
          <w:color w:val="000000"/>
          <w:sz w:val="24"/>
          <w:szCs w:val="24"/>
        </w:rPr>
        <w:t>s under the control of the Buyer).</w:t>
      </w:r>
    </w:p>
    <w:p w14:paraId="0000009E" w14:textId="77777777" w:rsidR="00D84818" w:rsidRDefault="00205F7C" w:rsidP="01B1A238">
      <w:pPr>
        <w:pStyle w:val="Normal0"/>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bCs/>
          <w:color w:val="000000"/>
          <w:sz w:val="24"/>
          <w:szCs w:val="24"/>
        </w:rPr>
      </w:pPr>
      <w:r>
        <w:rPr>
          <w:rFonts w:ascii="Arial" w:eastAsia="Arial" w:hAnsi="Arial" w:cs="Arial"/>
          <w:b/>
          <w:color w:val="000000"/>
          <w:sz w:val="24"/>
          <w:szCs w:val="24"/>
          <w:highlight w:val="yellow"/>
        </w:rPr>
        <w:tab/>
      </w:r>
      <w:r w:rsidR="01B1A238" w:rsidRPr="01B1A238">
        <w:rPr>
          <w:rFonts w:ascii="Arial" w:eastAsia="Arial" w:hAnsi="Arial" w:cs="Arial"/>
          <w:b/>
          <w:bCs/>
          <w:color w:val="000000"/>
          <w:sz w:val="24"/>
          <w:szCs w:val="24"/>
        </w:rPr>
        <w:t>Supplier-Furnished Terms</w:t>
      </w:r>
    </w:p>
    <w:p w14:paraId="0000009F" w14:textId="77777777" w:rsidR="00D84818" w:rsidRDefault="00205F7C" w:rsidP="01B1A238">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bCs/>
          <w:color w:val="000000"/>
          <w:sz w:val="24"/>
          <w:szCs w:val="24"/>
        </w:rPr>
      </w:pPr>
      <w:r>
        <w:rPr>
          <w:rFonts w:ascii="Arial" w:eastAsia="Arial" w:hAnsi="Arial" w:cs="Arial"/>
          <w:b/>
          <w:color w:val="000000"/>
          <w:sz w:val="24"/>
          <w:szCs w:val="24"/>
          <w:highlight w:val="yellow"/>
        </w:rPr>
        <w:tab/>
      </w:r>
      <w:r w:rsidR="01B1A238" w:rsidRPr="01B1A238">
        <w:rPr>
          <w:rFonts w:ascii="Arial" w:eastAsia="Arial" w:hAnsi="Arial" w:cs="Arial"/>
          <w:b/>
          <w:bCs/>
          <w:color w:val="000000"/>
          <w:sz w:val="24"/>
          <w:szCs w:val="24"/>
        </w:rPr>
        <w:t>Software Licence Terms</w:t>
      </w:r>
    </w:p>
    <w:p w14:paraId="000000A0" w14:textId="77777777" w:rsidR="00D84818" w:rsidRDefault="01B1A238" w:rsidP="01B1A238">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1B1A238">
        <w:rPr>
          <w:rFonts w:ascii="Arial" w:eastAsia="Arial" w:hAnsi="Arial" w:cs="Arial"/>
          <w:color w:val="000000" w:themeColor="text1"/>
          <w:sz w:val="24"/>
          <w:szCs w:val="24"/>
        </w:rPr>
        <w:t>Terms for licensing of non-COTS third party software in accordance with Paragraph 9.2.3 are detailed in [</w:t>
      </w:r>
      <w:r w:rsidRPr="01B1A238">
        <w:rPr>
          <w:rFonts w:ascii="Arial" w:eastAsia="Arial" w:hAnsi="Arial" w:cs="Arial"/>
          <w:sz w:val="24"/>
          <w:szCs w:val="24"/>
        </w:rPr>
        <w:t>Call-Off Schedule 24</w:t>
      </w:r>
      <w:r w:rsidRPr="01B1A238">
        <w:rPr>
          <w:rFonts w:ascii="Arial" w:eastAsia="Arial" w:hAnsi="Arial" w:cs="Arial"/>
          <w:color w:val="000000" w:themeColor="text1"/>
          <w:sz w:val="24"/>
          <w:szCs w:val="24"/>
        </w:rPr>
        <w:t>].</w:t>
      </w:r>
    </w:p>
    <w:p w14:paraId="000000A1" w14:textId="77777777" w:rsidR="00D84818" w:rsidRDefault="01B1A238" w:rsidP="01B1A238">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1B1A238">
        <w:rPr>
          <w:rFonts w:ascii="Arial" w:eastAsia="Arial" w:hAnsi="Arial" w:cs="Arial"/>
          <w:color w:val="000000" w:themeColor="text1"/>
          <w:sz w:val="24"/>
          <w:szCs w:val="24"/>
        </w:rPr>
        <w:t>Terms for licensing of COTS software in accordance with Paragraph 9.3 are detailed in [</w:t>
      </w:r>
      <w:r w:rsidRPr="01B1A238">
        <w:rPr>
          <w:rFonts w:ascii="Arial" w:eastAsia="Arial" w:hAnsi="Arial" w:cs="Arial"/>
          <w:sz w:val="24"/>
          <w:szCs w:val="24"/>
        </w:rPr>
        <w:t>Call-Off Schedule 24</w:t>
      </w:r>
      <w:r w:rsidRPr="01B1A238">
        <w:rPr>
          <w:rFonts w:ascii="Arial" w:eastAsia="Arial" w:hAnsi="Arial" w:cs="Arial"/>
          <w:color w:val="000000" w:themeColor="text1"/>
          <w:sz w:val="24"/>
          <w:szCs w:val="24"/>
        </w:rPr>
        <w:t>].</w:t>
      </w:r>
    </w:p>
    <w:p w14:paraId="000000A2" w14:textId="77777777" w:rsidR="00D84818" w:rsidRDefault="01B1A238" w:rsidP="01B1A238">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bCs/>
          <w:color w:val="000000"/>
          <w:sz w:val="24"/>
          <w:szCs w:val="24"/>
        </w:rPr>
      </w:pPr>
      <w:r w:rsidRPr="01B1A238">
        <w:rPr>
          <w:rFonts w:ascii="Arial" w:eastAsia="Arial" w:hAnsi="Arial" w:cs="Arial"/>
          <w:b/>
          <w:bCs/>
          <w:color w:val="000000" w:themeColor="text1"/>
          <w:sz w:val="24"/>
          <w:szCs w:val="24"/>
        </w:rPr>
        <w:t>Software as a Service Terms</w:t>
      </w:r>
    </w:p>
    <w:p w14:paraId="000000A3" w14:textId="77777777" w:rsidR="00D84818" w:rsidRDefault="01B1A238" w:rsidP="01B1A238">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1B1A238">
        <w:rPr>
          <w:rFonts w:ascii="Arial" w:eastAsia="Arial" w:hAnsi="Arial" w:cs="Arial"/>
          <w:color w:val="000000" w:themeColor="text1"/>
          <w:sz w:val="24"/>
          <w:szCs w:val="24"/>
        </w:rPr>
        <w:t>Additional terms for provision of a Software as a Service solution are detailed in [</w:t>
      </w:r>
      <w:r w:rsidRPr="01B1A238">
        <w:rPr>
          <w:rFonts w:ascii="Arial" w:eastAsia="Arial" w:hAnsi="Arial" w:cs="Arial"/>
          <w:sz w:val="24"/>
          <w:szCs w:val="24"/>
        </w:rPr>
        <w:t>Call-Off Schedule 24</w:t>
      </w:r>
      <w:r w:rsidRPr="01B1A238">
        <w:rPr>
          <w:rFonts w:ascii="Arial" w:eastAsia="Arial" w:hAnsi="Arial" w:cs="Arial"/>
          <w:color w:val="000000" w:themeColor="text1"/>
          <w:sz w:val="24"/>
          <w:szCs w:val="24"/>
        </w:rPr>
        <w:t>].</w:t>
      </w:r>
    </w:p>
    <w:p w14:paraId="000000A4" w14:textId="77777777" w:rsidR="00D84818" w:rsidRDefault="01B1A238" w:rsidP="01B1A238">
      <w:pPr>
        <w:pStyle w:val="Normal0"/>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bCs/>
          <w:color w:val="000000"/>
          <w:sz w:val="24"/>
          <w:szCs w:val="24"/>
        </w:rPr>
      </w:pPr>
      <w:r w:rsidRPr="01B1A238">
        <w:rPr>
          <w:rFonts w:ascii="Arial" w:eastAsia="Arial" w:hAnsi="Arial" w:cs="Arial"/>
          <w:b/>
          <w:bCs/>
          <w:color w:val="000000" w:themeColor="text1"/>
          <w:sz w:val="24"/>
          <w:szCs w:val="24"/>
        </w:rPr>
        <w:t>Software Support &amp; Maintenance Terms</w:t>
      </w:r>
    </w:p>
    <w:p w14:paraId="000000A5" w14:textId="77777777" w:rsidR="00D84818" w:rsidRDefault="01B1A238" w:rsidP="01B1A238">
      <w:pPr>
        <w:pStyle w:val="Normal0"/>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sidRPr="01B1A238">
        <w:rPr>
          <w:rFonts w:ascii="Arial" w:eastAsia="Arial" w:hAnsi="Arial" w:cs="Arial"/>
          <w:color w:val="000000"/>
          <w:sz w:val="24"/>
          <w:szCs w:val="24"/>
        </w:rPr>
        <w:t>Additional terms for provision of Software Support &amp; Maintenance Services are detailed in [</w:t>
      </w:r>
      <w:r w:rsidRPr="01B1A238">
        <w:rPr>
          <w:rFonts w:ascii="Arial" w:eastAsia="Arial" w:hAnsi="Arial" w:cs="Arial"/>
          <w:sz w:val="24"/>
          <w:szCs w:val="24"/>
        </w:rPr>
        <w:t>Call-Off Schedule 24</w:t>
      </w:r>
      <w:r w:rsidRPr="01B1A238">
        <w:rPr>
          <w:rFonts w:ascii="Arial" w:eastAsia="Arial" w:hAnsi="Arial" w:cs="Arial"/>
          <w:b/>
          <w:bCs/>
          <w:color w:val="000000"/>
          <w:sz w:val="24"/>
          <w:szCs w:val="24"/>
        </w:rPr>
        <w:t>]</w:t>
      </w:r>
    </w:p>
    <w:p w14:paraId="000000A6" w14:textId="77777777" w:rsidR="00D84818" w:rsidRDefault="00D84818">
      <w:pPr>
        <w:pStyle w:val="Normal0"/>
        <w:pBdr>
          <w:top w:val="nil"/>
          <w:left w:val="nil"/>
          <w:bottom w:val="nil"/>
          <w:right w:val="nil"/>
          <w:between w:val="nil"/>
        </w:pBdr>
        <w:spacing w:line="240" w:lineRule="auto"/>
        <w:jc w:val="left"/>
        <w:rPr>
          <w:rFonts w:ascii="Arial" w:eastAsia="Arial" w:hAnsi="Arial" w:cs="Arial"/>
          <w:b/>
          <w:i/>
          <w:color w:val="000000"/>
          <w:sz w:val="24"/>
          <w:szCs w:val="24"/>
        </w:rPr>
      </w:pPr>
    </w:p>
    <w:sectPr w:rsidR="00D84818">
      <w:headerReference w:type="default" r:id="rId11"/>
      <w:footerReference w:type="default" r:id="rId12"/>
      <w:headerReference w:type="first" r:id="rId13"/>
      <w:footerReference w:type="first" r:id="rId14"/>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C9BFE" w14:textId="77777777" w:rsidR="00205F7C" w:rsidRDefault="00205F7C">
      <w:pPr>
        <w:spacing w:after="0" w:line="240" w:lineRule="auto"/>
      </w:pPr>
      <w:r>
        <w:separator/>
      </w:r>
    </w:p>
  </w:endnote>
  <w:endnote w:type="continuationSeparator" w:id="0">
    <w:p w14:paraId="00B123ED" w14:textId="77777777" w:rsidR="00205F7C" w:rsidRDefault="00205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1" w14:textId="77777777" w:rsidR="00D84818" w:rsidRDefault="00D84818">
    <w:pPr>
      <w:pStyle w:val="Normal0"/>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000000B2" w14:textId="77777777" w:rsidR="00D84818" w:rsidRDefault="00205F7C">
    <w:pPr>
      <w:pStyle w:val="Normal0"/>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Ref:6181</w:t>
    </w:r>
  </w:p>
  <w:p w14:paraId="000000B3" w14:textId="7C59D64E" w:rsidR="00D84818" w:rsidRDefault="00205F7C">
    <w:pPr>
      <w:pStyle w:val="Normal0"/>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A22A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B4" w14:textId="77777777" w:rsidR="00D84818" w:rsidRDefault="00205F7C">
    <w:pPr>
      <w:pStyle w:val="Normal0"/>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AD" w14:textId="77777777" w:rsidR="00D84818" w:rsidRDefault="00D84818">
    <w:pPr>
      <w:pStyle w:val="Normal0"/>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000000AE" w14:textId="77777777" w:rsidR="00D84818" w:rsidRDefault="00205F7C">
    <w:pPr>
      <w:pStyle w:val="Normal0"/>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000000AF" w14:textId="77777777" w:rsidR="00D84818" w:rsidRDefault="00205F7C">
    <w:pPr>
      <w:pStyle w:val="Normal0"/>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000000B0" w14:textId="77777777" w:rsidR="00D84818" w:rsidRDefault="00205F7C">
    <w:pPr>
      <w:pStyle w:val="Normal0"/>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40C09" w14:textId="77777777" w:rsidR="00205F7C" w:rsidRDefault="00205F7C">
      <w:pPr>
        <w:spacing w:after="0" w:line="240" w:lineRule="auto"/>
      </w:pPr>
      <w:r>
        <w:separator/>
      </w:r>
    </w:p>
  </w:footnote>
  <w:footnote w:type="continuationSeparator" w:id="0">
    <w:p w14:paraId="6C7D3F6F" w14:textId="77777777" w:rsidR="00205F7C" w:rsidRDefault="00205F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A9" w14:textId="77777777" w:rsidR="00D84818" w:rsidRDefault="00205F7C">
    <w:pPr>
      <w:pStyle w:val="Normal0"/>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000000AA" w14:textId="77777777" w:rsidR="00D84818" w:rsidRDefault="00205F7C">
    <w:pPr>
      <w:pStyle w:val="Normal0"/>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000000AB" w14:textId="77777777" w:rsidR="00D84818" w:rsidRDefault="00205F7C">
    <w:pPr>
      <w:pStyle w:val="Normal0"/>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p w14:paraId="000000AC" w14:textId="77777777" w:rsidR="00D84818" w:rsidRDefault="00D84818">
    <w:pPr>
      <w:pStyle w:val="Normal0"/>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A7" w14:textId="77777777" w:rsidR="00D84818" w:rsidRDefault="00D84818">
    <w:pPr>
      <w:pStyle w:val="Normal0"/>
      <w:tabs>
        <w:tab w:val="center" w:pos="4513"/>
        <w:tab w:val="right" w:pos="9026"/>
      </w:tabs>
      <w:spacing w:after="0" w:line="240" w:lineRule="auto"/>
      <w:rPr>
        <w:rFonts w:ascii="Calibri" w:eastAsia="Calibri" w:hAnsi="Calibri" w:cs="Calibri"/>
      </w:rPr>
    </w:pPr>
  </w:p>
  <w:p w14:paraId="000000A8" w14:textId="77777777" w:rsidR="00D84818" w:rsidRDefault="00D84818">
    <w:pPr>
      <w:pStyle w:val="Normal0"/>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A6FB4"/>
    <w:multiLevelType w:val="multilevel"/>
    <w:tmpl w:val="1280FA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9D5C1B1"/>
    <w:multiLevelType w:val="multilevel"/>
    <w:tmpl w:val="593A94C6"/>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 w15:restartNumberingAfterBreak="0">
    <w:nsid w:val="42DF1D86"/>
    <w:multiLevelType w:val="multilevel"/>
    <w:tmpl w:val="C0342B3A"/>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3" w15:restartNumberingAfterBreak="0">
    <w:nsid w:val="5FB5B866"/>
    <w:multiLevelType w:val="multilevel"/>
    <w:tmpl w:val="4FFE26BA"/>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910E529"/>
    <w:multiLevelType w:val="multilevel"/>
    <w:tmpl w:val="2EE43EAA"/>
    <w:lvl w:ilvl="0">
      <w:start w:val="1"/>
      <w:numFmt w:val="decimal"/>
      <w:pStyle w:val="heading10"/>
      <w:lvlText w:val="%1"/>
      <w:lvlJc w:val="left"/>
      <w:pPr>
        <w:ind w:left="170" w:hanging="170"/>
      </w:pPr>
      <w:rPr>
        <w:rFonts w:ascii="Arial" w:eastAsia="Arial" w:hAnsi="Arial" w:cs="Arial"/>
        <w:sz w:val="22"/>
        <w:szCs w:val="22"/>
      </w:rPr>
    </w:lvl>
    <w:lvl w:ilvl="1">
      <w:start w:val="1"/>
      <w:numFmt w:val="lowerLetter"/>
      <w:pStyle w:val="heading20"/>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0"/>
      <w:lvlText w:val="%3)"/>
      <w:lvlJc w:val="left"/>
      <w:pPr>
        <w:ind w:left="1080" w:hanging="360"/>
      </w:pPr>
      <w:rPr>
        <w:rFonts w:ascii="Arial" w:eastAsia="Arial" w:hAnsi="Arial" w:cs="Arial"/>
        <w:sz w:val="22"/>
        <w:szCs w:val="22"/>
      </w:rPr>
    </w:lvl>
    <w:lvl w:ilvl="3">
      <w:start w:val="1"/>
      <w:numFmt w:val="decimal"/>
      <w:pStyle w:val="heading40"/>
      <w:lvlText w:val="(%4)"/>
      <w:lvlJc w:val="left"/>
      <w:pPr>
        <w:ind w:left="1440" w:hanging="360"/>
      </w:pPr>
    </w:lvl>
    <w:lvl w:ilvl="4">
      <w:start w:val="1"/>
      <w:numFmt w:val="lowerLetter"/>
      <w:pStyle w:val="heading50"/>
      <w:lvlText w:val="(%5)"/>
      <w:lvlJc w:val="left"/>
      <w:pPr>
        <w:ind w:left="1800" w:hanging="360"/>
      </w:pPr>
    </w:lvl>
    <w:lvl w:ilvl="5">
      <w:start w:val="1"/>
      <w:numFmt w:val="lowerRoman"/>
      <w:pStyle w:val="heading60"/>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abstractNumId w:val="3"/>
  </w:num>
  <w:num w:numId="2">
    <w:abstractNumId w:val="4"/>
  </w:num>
  <w:num w:numId="3">
    <w:abstractNumId w:val="1"/>
  </w:num>
  <w:num w:numId="4">
    <w:abstractNumId w:val="0"/>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B1A238"/>
    <w:rsid w:val="00205F7C"/>
    <w:rsid w:val="00D84818"/>
    <w:rsid w:val="00DA22A3"/>
    <w:rsid w:val="01B1A238"/>
    <w:rsid w:val="43C599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DF4910C"/>
  <w15:docId w15:val="{A7244A77-3F25-4170-AB84-6CF0F2DA3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pBdr>
        <w:top w:val="nil"/>
        <w:left w:val="nil"/>
        <w:bottom w:val="nil"/>
        <w:right w:val="nil"/>
        <w:between w:val="nil"/>
      </w:pBdr>
      <w:spacing w:line="240" w:lineRule="auto"/>
      <w:ind w:left="720" w:hanging="720"/>
      <w:outlineLvl w:val="0"/>
    </w:pPr>
    <w:rPr>
      <w:color w:val="000000"/>
    </w:rPr>
  </w:style>
  <w:style w:type="paragraph" w:styleId="Heading2">
    <w:name w:val="heading 2"/>
    <w:basedOn w:val="Normal"/>
    <w:next w:val="Normal"/>
    <w:uiPriority w:val="9"/>
    <w:semiHidden/>
    <w:unhideWhenUsed/>
    <w:qFormat/>
    <w:pPr>
      <w:pBdr>
        <w:top w:val="nil"/>
        <w:left w:val="nil"/>
        <w:bottom w:val="nil"/>
        <w:right w:val="nil"/>
        <w:between w:val="nil"/>
      </w:pBdr>
      <w:spacing w:line="240" w:lineRule="auto"/>
      <w:ind w:left="720" w:hanging="720"/>
      <w:outlineLvl w:val="1"/>
    </w:pPr>
    <w:rPr>
      <w:rFonts w:ascii="Calibri" w:eastAsia="Calibri" w:hAnsi="Calibri" w:cs="Calibri"/>
      <w:color w:val="000000"/>
    </w:rPr>
  </w:style>
  <w:style w:type="paragraph" w:styleId="Heading3">
    <w:name w:val="heading 3"/>
    <w:basedOn w:val="Normal"/>
    <w:next w:val="Normal"/>
    <w:uiPriority w:val="9"/>
    <w:semiHidden/>
    <w:unhideWhenUsed/>
    <w:qFormat/>
    <w:pPr>
      <w:pBdr>
        <w:top w:val="nil"/>
        <w:left w:val="nil"/>
        <w:bottom w:val="nil"/>
        <w:right w:val="nil"/>
        <w:between w:val="nil"/>
      </w:pBdr>
      <w:spacing w:line="240" w:lineRule="auto"/>
      <w:ind w:left="1800" w:hanging="1080"/>
      <w:outlineLvl w:val="2"/>
    </w:pPr>
    <w:rPr>
      <w:color w:val="000000"/>
    </w:rPr>
  </w:style>
  <w:style w:type="paragraph" w:styleId="Heading4">
    <w:name w:val="heading 4"/>
    <w:basedOn w:val="Normal"/>
    <w:next w:val="Normal"/>
    <w:uiPriority w:val="9"/>
    <w:semiHidden/>
    <w:unhideWhenUsed/>
    <w:qFormat/>
    <w:pPr>
      <w:pBdr>
        <w:top w:val="nil"/>
        <w:left w:val="nil"/>
        <w:bottom w:val="nil"/>
        <w:right w:val="nil"/>
        <w:between w:val="nil"/>
      </w:pBdr>
      <w:spacing w:line="240" w:lineRule="auto"/>
      <w:ind w:left="2880" w:hanging="1080"/>
      <w:outlineLvl w:val="3"/>
    </w:pPr>
    <w:rPr>
      <w:color w:val="000000"/>
    </w:rPr>
  </w:style>
  <w:style w:type="paragraph" w:styleId="Heading5">
    <w:name w:val="heading 5"/>
    <w:basedOn w:val="Normal"/>
    <w:next w:val="Normal"/>
    <w:uiPriority w:val="9"/>
    <w:semiHidden/>
    <w:unhideWhenUsed/>
    <w:qFormat/>
    <w:pPr>
      <w:pBdr>
        <w:top w:val="nil"/>
        <w:left w:val="nil"/>
        <w:bottom w:val="nil"/>
        <w:right w:val="nil"/>
        <w:between w:val="nil"/>
      </w:pBdr>
      <w:spacing w:line="240" w:lineRule="auto"/>
      <w:ind w:left="3600" w:hanging="720"/>
      <w:outlineLvl w:val="4"/>
    </w:pPr>
    <w:rPr>
      <w:color w:val="000000"/>
    </w:rPr>
  </w:style>
  <w:style w:type="paragraph" w:styleId="Heading6">
    <w:name w:val="heading 6"/>
    <w:basedOn w:val="Normal"/>
    <w:next w:val="Normal"/>
    <w:uiPriority w:val="9"/>
    <w:semiHidden/>
    <w:unhideWhenUsed/>
    <w:qFormat/>
    <w:pPr>
      <w:pBdr>
        <w:top w:val="nil"/>
        <w:left w:val="nil"/>
        <w:bottom w:val="nil"/>
        <w:right w:val="nil"/>
        <w:between w:val="nil"/>
      </w:pBdr>
      <w:spacing w:line="240" w:lineRule="auto"/>
      <w:ind w:left="4320" w:hanging="720"/>
      <w:outlineLvl w:val="5"/>
    </w:pPr>
    <w:rPr>
      <w:color w:val="000000"/>
    </w:r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rFonts w:ascii="Arial" w:eastAsia="Arial" w:hAnsi="Arial" w:cs="Arial"/>
      <w:b/>
      <w:sz w:val="32"/>
      <w:szCs w:val="32"/>
    </w:rPr>
  </w:style>
  <w:style w:type="paragraph" w:customStyle="1" w:styleId="Normal0">
    <w:name w:val="Normal0"/>
    <w:qFormat/>
    <w:pPr>
      <w:overflowPunct w:val="0"/>
      <w:autoSpaceDE w:val="0"/>
      <w:autoSpaceDN w:val="0"/>
      <w:adjustRightInd w:val="0"/>
      <w:textAlignment w:val="baseline"/>
    </w:pPr>
    <w:rPr>
      <w:lang w:eastAsia="en-US"/>
    </w:rPr>
  </w:style>
  <w:style w:type="paragraph" w:customStyle="1" w:styleId="heading10">
    <w:name w:val="heading 10"/>
    <w:basedOn w:val="HouseStyleBase"/>
    <w:link w:val="Heading1Char"/>
    <w:uiPriority w:val="9"/>
    <w:qFormat/>
    <w:pPr>
      <w:numPr>
        <w:numId w:val="2"/>
      </w:numPr>
      <w:outlineLvl w:val="0"/>
    </w:pPr>
  </w:style>
  <w:style w:type="paragraph" w:customStyle="1" w:styleId="heading20">
    <w:name w:val="heading 20"/>
    <w:basedOn w:val="HouseStyleBase"/>
    <w:link w:val="Heading2Char"/>
    <w:uiPriority w:val="9"/>
    <w:qFormat/>
    <w:pPr>
      <w:numPr>
        <w:ilvl w:val="1"/>
        <w:numId w:val="2"/>
      </w:numPr>
      <w:outlineLvl w:val="1"/>
    </w:pPr>
    <w:rPr>
      <w:rFonts w:ascii="Calibri" w:hAnsi="Calibri"/>
    </w:rPr>
  </w:style>
  <w:style w:type="paragraph" w:customStyle="1" w:styleId="heading30">
    <w:name w:val="heading 30"/>
    <w:basedOn w:val="HouseStyleBase"/>
    <w:link w:val="Heading3Char"/>
    <w:uiPriority w:val="9"/>
    <w:qFormat/>
    <w:pPr>
      <w:numPr>
        <w:ilvl w:val="2"/>
        <w:numId w:val="2"/>
      </w:numPr>
      <w:outlineLvl w:val="2"/>
    </w:pPr>
  </w:style>
  <w:style w:type="paragraph" w:customStyle="1" w:styleId="heading40">
    <w:name w:val="heading 40"/>
    <w:basedOn w:val="HouseStyleBase"/>
    <w:link w:val="Heading4Char"/>
    <w:uiPriority w:val="9"/>
    <w:qFormat/>
    <w:pPr>
      <w:numPr>
        <w:ilvl w:val="3"/>
        <w:numId w:val="2"/>
      </w:numPr>
      <w:outlineLvl w:val="3"/>
    </w:pPr>
  </w:style>
  <w:style w:type="paragraph" w:customStyle="1" w:styleId="heading50">
    <w:name w:val="heading 50"/>
    <w:basedOn w:val="HouseStyleBase"/>
    <w:link w:val="Heading5Char"/>
    <w:uiPriority w:val="9"/>
    <w:qFormat/>
    <w:pPr>
      <w:numPr>
        <w:ilvl w:val="4"/>
        <w:numId w:val="2"/>
      </w:numPr>
      <w:outlineLvl w:val="4"/>
    </w:pPr>
  </w:style>
  <w:style w:type="paragraph" w:customStyle="1" w:styleId="heading60">
    <w:name w:val="heading 60"/>
    <w:basedOn w:val="HouseStyleBase"/>
    <w:qFormat/>
    <w:pPr>
      <w:numPr>
        <w:ilvl w:val="5"/>
        <w:numId w:val="2"/>
      </w:numPr>
      <w:outlineLvl w:val="5"/>
    </w:p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styleId="Footer">
    <w:name w:val="footer"/>
    <w:basedOn w:val="Normal0"/>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0"/>
    <w:link w:val="BodyTextChar"/>
    <w:uiPriority w:val="99"/>
    <w:pPr>
      <w:spacing w:after="120"/>
    </w:pPr>
  </w:style>
  <w:style w:type="character" w:styleId="PageNumber">
    <w:name w:val="page number"/>
    <w:rPr>
      <w:sz w:val="22"/>
    </w:rPr>
  </w:style>
  <w:style w:type="paragraph" w:styleId="Header">
    <w:name w:val="header"/>
    <w:basedOn w:val="Normal0"/>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0"/>
    <w:pPr>
      <w:ind w:left="720" w:hanging="720"/>
    </w:pPr>
  </w:style>
  <w:style w:type="paragraph" w:styleId="TOAHeading">
    <w:name w:val="toa heading"/>
    <w:basedOn w:val="Normal0"/>
    <w:next w:val="Normal0"/>
    <w:semiHidden/>
    <w:pPr>
      <w:spacing w:before="120"/>
    </w:pPr>
    <w:rPr>
      <w:b/>
    </w:rPr>
  </w:style>
  <w:style w:type="paragraph" w:customStyle="1" w:styleId="Title0">
    <w:name w:val="Title0"/>
    <w:basedOn w:val="Normal0"/>
    <w:qFormat/>
    <w:pPr>
      <w:spacing w:before="240" w:after="60"/>
      <w:jc w:val="center"/>
    </w:pPr>
    <w:rPr>
      <w:rFonts w:ascii="Arial" w:hAnsi="Arial"/>
      <w:b/>
      <w:kern w:val="28"/>
      <w:sz w:val="32"/>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NormalTable0"/>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0"/>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0"/>
    <w:next w:val="Normal0"/>
    <w:uiPriority w:val="37"/>
    <w:semiHidden/>
    <w:unhideWhenUsed/>
  </w:style>
  <w:style w:type="paragraph" w:styleId="BlockText">
    <w:name w:val="Block Text"/>
    <w:basedOn w:val="Normal0"/>
    <w:pPr>
      <w:spacing w:after="120"/>
      <w:ind w:left="1440" w:right="1440"/>
    </w:pPr>
  </w:style>
  <w:style w:type="paragraph" w:styleId="BodyText2">
    <w:name w:val="Body Text 2"/>
    <w:basedOn w:val="Normal0"/>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0"/>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0"/>
    <w:next w:val="Normal0"/>
    <w:semiHidden/>
    <w:unhideWhenUsed/>
    <w:qFormat/>
    <w:rPr>
      <w:b/>
      <w:bCs/>
      <w:sz w:val="20"/>
    </w:rPr>
  </w:style>
  <w:style w:type="paragraph" w:styleId="Closing">
    <w:name w:val="Closing"/>
    <w:basedOn w:val="Normal0"/>
    <w:link w:val="ClosingChar"/>
    <w:pPr>
      <w:ind w:left="4252"/>
    </w:pPr>
  </w:style>
  <w:style w:type="character" w:customStyle="1" w:styleId="ClosingChar">
    <w:name w:val="Closing Char"/>
    <w:link w:val="Closing"/>
    <w:rPr>
      <w:sz w:val="22"/>
      <w:lang w:eastAsia="en-US"/>
    </w:rPr>
  </w:style>
  <w:style w:type="table" w:styleId="ColorfulGrid">
    <w:name w:val="Colorful Grid"/>
    <w:basedOn w:val="NormalTable0"/>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NormalTable0"/>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NormalTable0"/>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NormalTable0"/>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NormalTable0"/>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NormalTable0"/>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NormalTable0"/>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NormalTable0"/>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NormalTable0"/>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NormalTable0"/>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NormalTable0"/>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NormalTable0"/>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NormalTable0"/>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NormalTable0"/>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NormalTable0"/>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NormalTable0"/>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NormalTable0"/>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NormalTable0"/>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NormalTable0"/>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NormalTable0"/>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NormalTable0"/>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0"/>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NormalTable0"/>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NormalTable0"/>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NormalTable0"/>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NormalTable0"/>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NormalTable0"/>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NormalTable0"/>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NormalTable0"/>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0"/>
    <w:next w:val="Normal0"/>
    <w:link w:val="DateChar"/>
  </w:style>
  <w:style w:type="character" w:customStyle="1" w:styleId="DateChar">
    <w:name w:val="Date Char"/>
    <w:link w:val="Date"/>
    <w:rPr>
      <w:sz w:val="22"/>
      <w:lang w:eastAsia="en-US"/>
    </w:rPr>
  </w:style>
  <w:style w:type="paragraph" w:styleId="DocumentMap">
    <w:name w:val="Document Map"/>
    <w:basedOn w:val="Normal0"/>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0"/>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0"/>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0"/>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0"/>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0"/>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0"/>
    <w:next w:val="Normal0"/>
    <w:autoRedefine/>
    <w:pPr>
      <w:ind w:left="220" w:hanging="220"/>
    </w:pPr>
  </w:style>
  <w:style w:type="paragraph" w:styleId="Index2">
    <w:name w:val="index 2"/>
    <w:basedOn w:val="Normal0"/>
    <w:next w:val="Normal0"/>
    <w:autoRedefine/>
    <w:pPr>
      <w:ind w:left="440" w:hanging="220"/>
    </w:pPr>
  </w:style>
  <w:style w:type="paragraph" w:styleId="Index3">
    <w:name w:val="index 3"/>
    <w:basedOn w:val="Normal0"/>
    <w:next w:val="Normal0"/>
    <w:autoRedefine/>
    <w:pPr>
      <w:ind w:left="660" w:hanging="220"/>
    </w:pPr>
  </w:style>
  <w:style w:type="paragraph" w:styleId="Index4">
    <w:name w:val="index 4"/>
    <w:basedOn w:val="Normal0"/>
    <w:next w:val="Normal0"/>
    <w:autoRedefine/>
    <w:pPr>
      <w:ind w:left="880" w:hanging="220"/>
    </w:pPr>
  </w:style>
  <w:style w:type="paragraph" w:styleId="Index5">
    <w:name w:val="index 5"/>
    <w:basedOn w:val="Normal0"/>
    <w:next w:val="Normal0"/>
    <w:autoRedefine/>
    <w:pPr>
      <w:ind w:left="1100" w:hanging="220"/>
    </w:pPr>
  </w:style>
  <w:style w:type="paragraph" w:styleId="Index6">
    <w:name w:val="index 6"/>
    <w:basedOn w:val="Normal0"/>
    <w:next w:val="Normal0"/>
    <w:autoRedefine/>
    <w:pPr>
      <w:ind w:left="1320" w:hanging="220"/>
    </w:pPr>
  </w:style>
  <w:style w:type="paragraph" w:styleId="Index7">
    <w:name w:val="index 7"/>
    <w:basedOn w:val="Normal0"/>
    <w:next w:val="Normal0"/>
    <w:autoRedefine/>
    <w:pPr>
      <w:ind w:left="1540" w:hanging="220"/>
    </w:pPr>
  </w:style>
  <w:style w:type="paragraph" w:styleId="Index8">
    <w:name w:val="index 8"/>
    <w:basedOn w:val="Normal0"/>
    <w:next w:val="Normal0"/>
    <w:autoRedefine/>
    <w:pPr>
      <w:ind w:left="1760" w:hanging="220"/>
    </w:pPr>
  </w:style>
  <w:style w:type="paragraph" w:styleId="Index9">
    <w:name w:val="index 9"/>
    <w:basedOn w:val="Normal0"/>
    <w:next w:val="Normal0"/>
    <w:autoRedefine/>
    <w:pPr>
      <w:ind w:left="1980" w:hanging="220"/>
    </w:pPr>
  </w:style>
  <w:style w:type="paragraph" w:styleId="IndexHeading">
    <w:name w:val="index heading"/>
    <w:basedOn w:val="Normal0"/>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0"/>
    <w:next w:val="Normal0"/>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NormalTable0"/>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NormalTable0"/>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NormalTable0"/>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NormalTable0"/>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NormalTable0"/>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NormalTable0"/>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NormalTable0"/>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NormalTable0"/>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NormalTable0"/>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NormalTable0"/>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NormalTable0"/>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NormalTable0"/>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NormalTable0"/>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NormalTable0"/>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NormalTable0"/>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NormalTable0"/>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NormalTable0"/>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NormalTable0"/>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NormalTable0"/>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NormalTable0"/>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NormalTable0"/>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0"/>
    <w:pPr>
      <w:ind w:left="283" w:hanging="283"/>
      <w:contextualSpacing/>
    </w:pPr>
  </w:style>
  <w:style w:type="paragraph" w:styleId="List2">
    <w:name w:val="List 2"/>
    <w:basedOn w:val="Normal0"/>
    <w:pPr>
      <w:ind w:left="566" w:hanging="283"/>
      <w:contextualSpacing/>
    </w:pPr>
  </w:style>
  <w:style w:type="paragraph" w:styleId="List3">
    <w:name w:val="List 3"/>
    <w:basedOn w:val="Normal0"/>
    <w:pPr>
      <w:ind w:left="849" w:hanging="283"/>
      <w:contextualSpacing/>
    </w:pPr>
  </w:style>
  <w:style w:type="paragraph" w:styleId="List4">
    <w:name w:val="List 4"/>
    <w:basedOn w:val="Normal0"/>
    <w:pPr>
      <w:ind w:left="1132" w:hanging="283"/>
      <w:contextualSpacing/>
    </w:pPr>
  </w:style>
  <w:style w:type="paragraph" w:styleId="List5">
    <w:name w:val="List 5"/>
    <w:basedOn w:val="Normal0"/>
    <w:pPr>
      <w:ind w:left="1415" w:hanging="283"/>
      <w:contextualSpacing/>
    </w:pPr>
  </w:style>
  <w:style w:type="paragraph" w:styleId="ListContinue">
    <w:name w:val="List Continue"/>
    <w:basedOn w:val="Normal0"/>
    <w:pPr>
      <w:spacing w:after="120"/>
      <w:ind w:left="283"/>
      <w:contextualSpacing/>
    </w:pPr>
  </w:style>
  <w:style w:type="paragraph" w:styleId="ListContinue2">
    <w:name w:val="List Continue 2"/>
    <w:basedOn w:val="Normal0"/>
    <w:pPr>
      <w:spacing w:after="120"/>
      <w:ind w:left="566"/>
      <w:contextualSpacing/>
    </w:pPr>
  </w:style>
  <w:style w:type="paragraph" w:styleId="ListContinue3">
    <w:name w:val="List Continue 3"/>
    <w:basedOn w:val="Normal0"/>
    <w:pPr>
      <w:spacing w:after="120"/>
      <w:ind w:left="849"/>
      <w:contextualSpacing/>
    </w:pPr>
  </w:style>
  <w:style w:type="paragraph" w:styleId="ListContinue4">
    <w:name w:val="List Continue 4"/>
    <w:basedOn w:val="Normal0"/>
    <w:pPr>
      <w:spacing w:after="120"/>
      <w:ind w:left="1132"/>
      <w:contextualSpacing/>
    </w:pPr>
  </w:style>
  <w:style w:type="paragraph" w:styleId="ListContinue5">
    <w:name w:val="List Continue 5"/>
    <w:basedOn w:val="Normal0"/>
    <w:pPr>
      <w:spacing w:after="120"/>
      <w:ind w:left="1415"/>
      <w:contextualSpacing/>
    </w:pPr>
  </w:style>
  <w:style w:type="paragraph" w:styleId="ListNumber">
    <w:name w:val="List Number"/>
    <w:basedOn w:val="Normal0"/>
    <w:pPr>
      <w:tabs>
        <w:tab w:val="num" w:pos="720"/>
      </w:tabs>
      <w:ind w:left="720" w:hanging="720"/>
      <w:contextualSpacing/>
    </w:pPr>
  </w:style>
  <w:style w:type="paragraph" w:styleId="ListNumber2">
    <w:name w:val="List Number 2"/>
    <w:basedOn w:val="Normal0"/>
    <w:pPr>
      <w:tabs>
        <w:tab w:val="num" w:pos="720"/>
      </w:tabs>
      <w:ind w:left="720" w:hanging="720"/>
      <w:contextualSpacing/>
    </w:pPr>
  </w:style>
  <w:style w:type="paragraph" w:styleId="ListNumber3">
    <w:name w:val="List Number 3"/>
    <w:basedOn w:val="Normal0"/>
    <w:pPr>
      <w:tabs>
        <w:tab w:val="num" w:pos="720"/>
      </w:tabs>
      <w:ind w:left="720" w:hanging="720"/>
      <w:contextualSpacing/>
    </w:pPr>
  </w:style>
  <w:style w:type="paragraph" w:styleId="ListNumber4">
    <w:name w:val="List Number 4"/>
    <w:basedOn w:val="Normal0"/>
    <w:pPr>
      <w:tabs>
        <w:tab w:val="num" w:pos="720"/>
      </w:tabs>
      <w:ind w:left="720" w:hanging="720"/>
      <w:contextualSpacing/>
    </w:pPr>
  </w:style>
  <w:style w:type="paragraph" w:styleId="ListNumber5">
    <w:name w:val="List Number 5"/>
    <w:basedOn w:val="Normal0"/>
    <w:pPr>
      <w:tabs>
        <w:tab w:val="num" w:pos="720"/>
      </w:tabs>
      <w:ind w:left="720" w:hanging="720"/>
      <w:contextualSpacing/>
    </w:pPr>
  </w:style>
  <w:style w:type="paragraph" w:styleId="ListParagraph">
    <w:name w:val="List Paragraph"/>
    <w:basedOn w:val="Normal0"/>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NormalTable0"/>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NormalTable0"/>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NormalTable0"/>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NormalTable0"/>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NormalTable0"/>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NormalTable0"/>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NormalTable0"/>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NormalTable0"/>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NormalTable0"/>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NormalTable0"/>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NormalTable0"/>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NormalTable0"/>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NormalTable0"/>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NormalTable0"/>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NormalTable0"/>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NormalTable0"/>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NormalTable0"/>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NormalTable0"/>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NormalTable0"/>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NormalTable0"/>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NormalTable0"/>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NormalTable0"/>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NormalTable0"/>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NormalTable0"/>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NormalTable0"/>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NormalTable0"/>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NormalTable0"/>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NormalTable0"/>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NormalTable0"/>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NormalTable0"/>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NormalTable0"/>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NormalTable0"/>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NormalTable0"/>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NormalTable0"/>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NormalTable0"/>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NormalTable0"/>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NormalTable0"/>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NormalTable0"/>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NormalTable0"/>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NormalTable0"/>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NormalTable0"/>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NormalTable0"/>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NormalTable0"/>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NormalTable0"/>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NormalTable0"/>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NormalTable0"/>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NormalTable0"/>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NormalTable0"/>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NormalTable0"/>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0"/>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0"/>
    <w:rPr>
      <w:sz w:val="24"/>
      <w:szCs w:val="24"/>
    </w:rPr>
  </w:style>
  <w:style w:type="paragraph" w:styleId="NormalIndent">
    <w:name w:val="Normal Indent"/>
    <w:basedOn w:val="Normal0"/>
    <w:pPr>
      <w:ind w:left="720"/>
    </w:pPr>
  </w:style>
  <w:style w:type="paragraph" w:styleId="NoteHeading">
    <w:name w:val="Note Heading"/>
    <w:basedOn w:val="Normal0"/>
    <w:next w:val="Normal0"/>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0"/>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0"/>
    <w:next w:val="Normal0"/>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0"/>
    <w:next w:val="Normal0"/>
    <w:link w:val="SalutationChar"/>
  </w:style>
  <w:style w:type="character" w:customStyle="1" w:styleId="SalutationChar">
    <w:name w:val="Salutation Char"/>
    <w:link w:val="Salutation"/>
    <w:rPr>
      <w:sz w:val="22"/>
      <w:lang w:eastAsia="en-US"/>
    </w:rPr>
  </w:style>
  <w:style w:type="paragraph" w:styleId="Signature">
    <w:name w:val="Signature"/>
    <w:basedOn w:val="Normal0"/>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0"/>
    <w:next w:val="Normal0"/>
    <w:link w:val="SubtitleChar"/>
    <w:uiPriority w:val="11"/>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NormalTable0"/>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NormalTable0"/>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NormalTable0"/>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NormalTable0"/>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NormalTable0"/>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NormalTable0"/>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NormalTable0"/>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NormalTable0"/>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NormalTable0"/>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NormalTable0"/>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NormalTable0"/>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NormalTable0"/>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NormalTable0"/>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NormalTable0"/>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NormalTable0"/>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NormalTable0"/>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NormalTable0"/>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NormalTable0"/>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NormalTable0"/>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NormalTable0"/>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NormalTable0"/>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NormalTable0"/>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NormalTable0"/>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NormalTable0"/>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NormalTable0"/>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NormalTable0"/>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NormalTable0"/>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NormalTable0"/>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NormalTable0"/>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NormalTable0"/>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NormalTable0"/>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NormalTable0"/>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NormalTable0"/>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0"/>
    <w:next w:val="Normal0"/>
    <w:pPr>
      <w:ind w:left="220" w:hanging="220"/>
    </w:pPr>
  </w:style>
  <w:style w:type="paragraph" w:styleId="TableofFigures">
    <w:name w:val="table of figures"/>
    <w:basedOn w:val="Normal0"/>
    <w:next w:val="Normal0"/>
  </w:style>
  <w:style w:type="table" w:styleId="TableProfessional">
    <w:name w:val="Table Professional"/>
    <w:basedOn w:val="NormalTable0"/>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NormalTable0"/>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NormalTable0"/>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NormalTable0"/>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NormalTable0"/>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NormalTable0"/>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NormalTable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NormalTable0"/>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NormalTable0"/>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NormalTable0"/>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0"/>
    <w:next w:val="Normal0"/>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0"/>
    <w:uiPriority w:val="9"/>
    <w:rPr>
      <w:rFonts w:eastAsia="STZhongsong"/>
      <w:sz w:val="22"/>
      <w:lang w:eastAsia="zh-CN"/>
    </w:rPr>
  </w:style>
  <w:style w:type="character" w:customStyle="1" w:styleId="Heading2Char">
    <w:name w:val="Heading 2 Char"/>
    <w:link w:val="heading20"/>
    <w:uiPriority w:val="9"/>
    <w:rPr>
      <w:rFonts w:ascii="Calibri" w:eastAsia="STZhongsong" w:hAnsi="Calibri"/>
      <w:sz w:val="22"/>
      <w:lang w:eastAsia="zh-CN"/>
    </w:rPr>
  </w:style>
  <w:style w:type="character" w:customStyle="1" w:styleId="Heading3Char">
    <w:name w:val="Heading 3 Char"/>
    <w:link w:val="heading30"/>
    <w:uiPriority w:val="9"/>
    <w:rPr>
      <w:rFonts w:eastAsia="STZhongsong"/>
      <w:sz w:val="22"/>
      <w:lang w:eastAsia="zh-CN"/>
    </w:rPr>
  </w:style>
  <w:style w:type="character" w:customStyle="1" w:styleId="Heading4Char">
    <w:name w:val="Heading 4 Char"/>
    <w:link w:val="heading40"/>
    <w:uiPriority w:val="9"/>
    <w:rPr>
      <w:rFonts w:eastAsia="STZhongsong"/>
      <w:sz w:val="22"/>
      <w:lang w:eastAsia="zh-CN"/>
    </w:rPr>
  </w:style>
  <w:style w:type="character" w:customStyle="1" w:styleId="Heading5Char">
    <w:name w:val="Heading 5 Char"/>
    <w:link w:val="heading50"/>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0"/>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0"/>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0"/>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0"/>
    <w:pPr>
      <w:overflowPunct/>
      <w:autoSpaceDE/>
      <w:autoSpaceDN/>
      <w:adjustRightInd/>
      <w:ind w:left="709"/>
      <w:textAlignment w:val="auto"/>
    </w:pPr>
    <w:rPr>
      <w:sz w:val="24"/>
      <w:szCs w:val="24"/>
    </w:rPr>
  </w:style>
  <w:style w:type="paragraph" w:customStyle="1" w:styleId="GPSL1CLAUSEHEADING">
    <w:name w:val="GPS L1 CLAUSE HEADING"/>
    <w:basedOn w:val="Normal0"/>
    <w:next w:val="Normal0"/>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0"/>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0"/>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0"/>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0"/>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0"/>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0"/>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0"/>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paragraph" w:customStyle="1" w:styleId="Subtitle0">
    <w:name w:val="Subtitle0"/>
    <w:basedOn w:val="Normal0"/>
    <w:next w:val="Normal0"/>
    <w:pPr>
      <w:spacing w:after="60"/>
      <w:jc w:val="center"/>
    </w:pPr>
    <w:rPr>
      <w:rFonts w:ascii="Cambria" w:eastAsia="Cambria" w:hAnsi="Cambria" w:cs="Cambria"/>
      <w:sz w:val="24"/>
      <w:szCs w:val="24"/>
    </w:rPr>
  </w:style>
  <w:style w:type="table" w:customStyle="1" w:styleId="a">
    <w:basedOn w:val="NormalTable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jiAGRTu5J8aOxAvpgvE58L+aR7iA==">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</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07160E-07E8-4564-8EAD-F6BD2C8D9DC2}">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1EEC25A-ED54-4E8A-A5F5-C4E774011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14D0E6-D86A-479E-81B0-2C8E016232C3}">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60108</vt:lpwstr>
  </property>
  <property fmtid="{D5CDD505-2E9C-101B-9397-08002B2CF9AE}" pid="4" name="OptimizationTime">
    <vt:lpwstr>20220804_1053</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3448</Words>
  <Characters>19658</Characters>
  <Application>Microsoft Office Word</Application>
  <DocSecurity>0</DocSecurity>
  <Lines>163</Lines>
  <Paragraphs>46</Paragraphs>
  <ScaleCrop>false</ScaleCrop>
  <Company/>
  <LinksUpToDate>false</LinksUpToDate>
  <CharactersWithSpaces>23060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Richard Wood</cp:lastModifiedBy>
  <cp:revision>1</cp:revision>
  <dcterms:created xsi:type="dcterms:W3CDTF">2021-01-21T10:29:00Z</dcterms:created>
  <dcterms:modified xsi:type="dcterms:W3CDTF">2022-08-01T20:21:00Z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0x01010081A882439F723E499D591D7C01441CD7</vt:lpwstr>
  </property>
</Properties>
</file>